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Trafford Veterans CIC</w:t>
      </w:r>
    </w:p>
    <w:p>
      <w:pPr>
        <w:pStyle w:val="Title"/>
      </w:pPr>
      <w:r>
        <w:t>Internal data protection policy</w:t>
      </w:r>
    </w:p>
    <w:p>
      <w:r>
        <w:t>Version 1.1 | Issued 12 October 2026 | Owner: Claire Squires | Review due 12 October 2027 | Director approval confirmed by applicant 12 October 2026</w:t>
      </w:r>
    </w:p>
    <w:p>
      <w:pPr>
        <w:pStyle w:val="Heading1"/>
      </w:pPr>
      <w:r>
        <w:t>1 Purpose scope and accountability</w:t>
      </w:r>
    </w:p>
    <w:p>
      <w:r>
        <w:t>This policy governs personal information handled by Trafford Veterans CIC in community support, participant contact, safeguarding, volunteering, administration and the proposed GMCA Live Well in Later Life programme. It applies to directors, staff, volunteers and contractors acting for the CIC, including hybrid coffee mornings and care-home connections. It sets required practice; creating the document does not itself prove that every technical or organisational control has been implemented.</w:t>
      </w:r>
    </w:p>
    <w:p>
      <w:r>
        <w:t>Claire Squires is the accountable data-protection lead, as confirmed by the applicant. The directors approved this updated policy and the linked External Privacy Notice v1.1 on 12 October 2026, as confirmed by the applicant. Claire records this approval in the governance register and the directors oversee implementation. Claire maintains the processing inventory, authorised access list, retention schedule, supplier/transfer register, requests and complaints log, breach log and training records. Directors must check implementation before new funded processing begins. Data protection enquiries go to info@traffordveterans.org, 07947 865500 or 11 Walnut Walk, Stretford, Manchester, M32 9AQ.</w:t>
      </w:r>
    </w:p>
    <w:p>
      <w:r>
        <w:t>The CIC applies the UK GDPR, Data Protection Act 2018 and Data (Use and Access) Act 2025 as commenced. It must maintain any required ICO fee registration and retain the current certificate, reference and expiry/renewal date. Claire reports that the CIC is exempt from the ICO fee. Record the exemption basis and ICO self-assessment for current and proposed programme processing, and reassess on change. AURIS’s records report its registration completed on 8 July 2026 (application reference C1978474); this does not register the CIC or transfer its responsibilities. Fee exemption does not replace compliance with the other duties in this policy.</w:t>
      </w:r>
    </w:p>
    <w:p>
      <w:pPr>
        <w:pStyle w:val="Heading1"/>
      </w:pPr>
      <w:r>
        <w:t>2 Lawful processing and information minimisation</w:t>
      </w:r>
    </w:p>
    <w:p>
      <w:r>
        <w:t>For each activity, record the purpose, necessary data, source, recipients, lawful basis, any special-category/criminal-data condition, retention and security arrangements. Apply lawfulness, fairness, transparency, purpose limitation, data minimisation, accuracy, storage limitation, security and accountability. Do not collect clinical histories merely because a resident is in a care home or is a veteran.</w:t>
      </w:r>
    </w:p>
    <w:p>
      <w:r>
        <w:t>Use legitimate interests under Article 6(1)(f) for necessary community support, proportionate administration and service improvement only after recording purpose, necessity and the balance with people’s rights. Use Article 6(1)(a) for genuinely optional consent-based activity such as identifiable publicity. Use a legal obligation only where the applicable duty is identified, and vital interests only where the legal conditions are satisfied. Do not use one blanket consent statement for all activities.</w:t>
      </w:r>
    </w:p>
    <w:p>
      <w:r>
        <w:t>Health, disability, ethnicity, religion and other special-category information require an Article 9 condition as well as an Article 6 basis. Use explicit consent where appropriate and valid; apply safeguarding substantial-public-interest conditions only where Article 9(2)(g) and the relevant Data Protection Act Schedule 1 condition are satisfied. Vital-interest processing under Article 9(2)(c) requires the person to be physically or legally incapable of consent. Record the reason for sharing without consent. Criminal/DBS information requires separate lawful authority; record only what the role requires.</w:t>
      </w:r>
    </w:p>
    <w:p>
      <w:pPr>
        <w:pStyle w:val="Heading1"/>
      </w:pPr>
      <w:r>
        <w:t>3 Fair notice consent and participant choice</w:t>
      </w:r>
    </w:p>
    <w:p>
      <w:r>
        <w:t>Provide the external privacy notice at first contact, using plain language, large print, audio, translation or supported explanation as needed. If information comes from a care home, family member or referral partner, explain the source and provide the notice within the applicable legal time limit, normally no later than one month and sooner at first contact or disclosure where required.</w:t>
      </w:r>
    </w:p>
    <w:p>
      <w:r>
        <w:t>Participation, evaluation questions and publicity must be explained separately. Record specific, informed and freely given consent where relied on, including any withdrawal. Do not assume incapacity from age, disability or being bed-bound. Support the particular decision and follow the Mental Capacity Act where relevant. Do not rely on a family member’s agreement without checking their authority. Declining publicity, a recording or an optional question must not remove access to the underlying community gathering.</w:t>
      </w:r>
    </w:p>
    <w:p>
      <w:pPr>
        <w:pStyle w:val="Heading1"/>
      </w:pPr>
      <w:r>
        <w:t>4 Records retention and secure disposal</w:t>
      </w:r>
    </w:p>
    <w:p>
      <w:r>
        <w:t>Keep contact and attendance records only for delivery, follow-up and evaluation. The programme retention rule is to review identifiable participation records at programme closure and delete or anonymise them within 12 months of completion unless a documented legal, safeguarding or grant requirement requires longer. For a programme ending 31 December 2028 this means routine disposal by 31 December 2029. Keep anonymised statistics only after assessing re-identification risk; pseudonymised records remain personal data.</w:t>
      </w:r>
    </w:p>
    <w:p>
      <w:r>
        <w:t>Review general enquiry/contact records annually and delete when no ongoing purpose remains. Financial and grant audit records follow applicable law and the grant agreement; normally retain financial records for six years after the relevant accounting period, or longer if the agreement requires. Do not extend every participant’s health information to the financial-record period.</w:t>
      </w:r>
    </w:p>
    <w:p>
      <w:r>
        <w:t>Safeguarding, employment allegations and complaints are separate categories. Claire must record their specific retention period or criteria with appropriate statutory/sector advice, considering ongoing protection, limitation periods and investigations. Suspend disposal for a legitimate investigation or legal hold. Remove authorised copies from working folders, devices, backups according to the system’s deletion cycle, and paper storage; record secure disposal.</w:t>
      </w:r>
    </w:p>
    <w:p>
      <w:pPr>
        <w:pStyle w:val="Heading1"/>
      </w:pPr>
      <w:r>
        <w:t>5 Access security and Google services</w:t>
      </w:r>
    </w:p>
    <w:p>
      <w:r>
        <w:t>The applicant confirms use of Google Drive and Gmail. This is not evidence that the account is Google Workspace, that data-region controls are configured or that all data stays in the UK/EU. Claire must identify the exact account, contracting entity, service terms, ownership, administrators, subprocessors and relevant locations before approving grant processing.</w:t>
      </w:r>
    </w:p>
    <w:p>
      <w:r>
        <w:t>Use individual authorised accounts, strong unique passwords, multi-factor authentication, least-privilege permissions, restricted folders and controlled sharing. Disable public-link sharing for personal records; regularly review access and remove it promptly on role changes. Safeguarding records must have separate restricted access. Use supported devices, updates, screen locks, encryption and approved backup/recovery arrangements. These are required controls, not a statement that existing settings have been audited.</w:t>
      </w:r>
    </w:p>
    <w:p>
      <w:r>
        <w:t>Keep necessary paper records in locked storage with controlled keys. Verify recipients and authority before sharing; use approved secure transfer, minimum necessary information and an access/sharing log. Do not put identifiable case information in group chats, personal social-media messages or public documents. Do not upload personal participant records to generative AI services without a separately approved lawful and secure arrangement.</w:t>
      </w:r>
    </w:p>
    <w:p>
      <w:pPr>
        <w:pStyle w:val="Heading1"/>
      </w:pPr>
      <w:r>
        <w:t>6 Hybrid coffee mornings and care-home access</w:t>
      </w:r>
    </w:p>
    <w:p>
      <w:r>
        <w:t>Before a care home joins, agree a named host and liaison, individual support, safe positioning of screens, who may hear or see the session, consent/privacy choices and an escalation route. Use controlled meeting links and admission/moderation settings. Do not assume that everyone visible on a shared screen has agreed to participate. Residents may use audio, a supported device or offline feedback without being filmed.</w:t>
      </w:r>
    </w:p>
    <w:p>
      <w:r>
        <w:t>Recording and automated transcription are off by default. Any proposed recording, image, attributable quote or impact story needs a defined purpose, lawful basis, separate permission where applicable, access controls and a retention decision. Avoid sharing medical or safeguarding details in a group session; move disclosures to a private route. Count individual participants accurately without collecting excessive identifying detail. Care-home staff remain responsible for their own care records.</w:t>
      </w:r>
    </w:p>
    <w:p>
      <w:pPr>
        <w:pStyle w:val="Heading1"/>
      </w:pPr>
      <w:r>
        <w:t>7 Suppliers joint working and international transfers</w:t>
      </w:r>
    </w:p>
    <w:p>
      <w:r>
        <w:t>Identify whether each organisation is a processor, independent controller or joint controller for each defined purpose. AURIS/Gemma Gardner’s role must be set by the new programme arrangement; the older Op Re Muster pilot agreement must not be assumed to cover the new grant. Prefer genuinely anonymised evaluation outputs. A participant ID alone does not anonymise a record.</w:t>
      </w:r>
    </w:p>
    <w:p>
      <w:r>
        <w:t>Where a supplier processes personal data for the CIC, use an Article 28-compliant agreement covering instructions, confidentiality, security, subprocessors, rights support, breach notification, audit and return/deletion. Use an Article 26 arrangement where joint controllership applies. Independent-controller sharing needs documented purpose, lawful basis, minimum data, responsibilities and transparency. Complete due diligence and reviews; do not present unsigned agreements as executed.</w:t>
      </w:r>
    </w:p>
    <w:p>
      <w:r>
        <w:t>Google’s public documentation allows overseas processing, including the United States. Record each restricted transfer and the applicable UK mechanism: relevant adequacy, a valid certification and UK extension where applicable, or an IDTA/UK Addendum and required transfer assessment. Verify coverage and contracting terms for the actual service/account; do not infer it from a generic Google webpage. Where safeguards or risk cannot be established, restrict processing or use a compliant alternative before collecting the affected grant data. Retain assessment and approval evidence.</w:t>
      </w:r>
    </w:p>
    <w:p>
      <w:pPr>
        <w:pStyle w:val="Heading1"/>
      </w:pPr>
      <w:r>
        <w:t>8 Special-category safeguarding policy documentation</w:t>
      </w:r>
    </w:p>
    <w:p>
      <w:r>
        <w:t>Where the CIC relies on a Schedule 1 condition requiring an appropriate policy document, this section and the processing/retention register together provide the required procedural framework. Record the precise Schedule 1 condition, why processing is necessary, the Article 6 basis, Article 9/10 authority, safeguards, retention/disposal rule and any departure from that rule. Do not rely on this document unless those decisions have been made and recorded.</w:t>
      </w:r>
    </w:p>
    <w:p>
      <w:r>
        <w:t>Protect children and adults at risk through proportionate, necessary processing; minimise sensitive details, restrict access, verify accuracy and document authorised sharing. Keep the policy under review, make it available to the ICO on request, and retain it for the processing period and at least six months afterwards where required. Safeguarding retention decisions must be justified and reviewed, not indefinite by default.</w:t>
      </w:r>
    </w:p>
    <w:p>
      <w:pPr>
        <w:pStyle w:val="Heading1"/>
      </w:pPr>
      <w:r>
        <w:t>9 Individual rights complaints and staff training</w:t>
      </w:r>
    </w:p>
    <w:p>
      <w:r>
        <w:t>Claire logs and handles requests for access, correction, erasure, restriction, portability and objection, and withdrawal of consent. Check identity proportionately, identify the relevant records and consider third-party information and lawful exceptions. Normally respond within one month; communicate any lawful pause, extension or refusal and the reasons and complaint routes. A right does not apply identically to every legal basis. Explain clearly if records must be retained.</w:t>
      </w:r>
    </w:p>
    <w:p>
      <w:r>
        <w:t>Provide an accessible complaints route via the contact above. Acknowledge a data-protection complaint within 30 days, investigate without undue delay, explain progress and give a reasoned outcome and ICO escalation route. Safeguarding danger must be acted on immediately, not wait for the complaints deadline. Protect complainants from retaliation.</w:t>
      </w:r>
    </w:p>
    <w:p>
      <w:r>
        <w:t>Before access to records, provide role-appropriate induction covering confidentiality, lawful sharing, phishing, permissions, rights requests and incident reporting. Give at least annual updates and further training when systems or duties change. Record acknowledgement, training and supervision. Audit overdue controls and restrict access where competence is not established.</w:t>
      </w:r>
    </w:p>
    <w:p>
      <w:pPr>
        <w:pStyle w:val="Heading1"/>
      </w:pPr>
      <w:r>
        <w:t>10 Breaches investigation and reporting</w:t>
      </w:r>
    </w:p>
    <w:p>
      <w:r>
        <w:t>Anyone who suspects loss, unauthorised access/disclosure, alteration or unavailable data must notify Claire immediately. Preserve evidence, record when the incident was discovered and stop further exposure safely: revoke links/access, contain compromised accounts and secure devices or paper. If Claire is implicated or unavailable, notify an uninvolved director. Processors must notify the CIC without undue delay.</w:t>
      </w:r>
    </w:p>
    <w:p>
      <w:r>
        <w:t>Assess affected data, sensitivity, scale, identifiability, recipients, protective measures, vulnerability of affected people, likely severity and probability of harm. Record low/medium/high risk with reasons and actions; review as facts develop. Notify the GMCA grant contact without undue delay where its data, delivery or reporting is affected, following any stricter agreement deadline.</w:t>
      </w:r>
    </w:p>
    <w:p>
      <w:r>
        <w:t>Claire decides and records whether notification to the ICO is required. Report a notifiable breach without undue delay and within 72 hours of awareness; explain delay and provide further information in phases if needed. Where high risk to people exists, tell them without undue delay in clear language with protective steps unless a lawful exception applies. Notify relevant partners or police where appropriate. Keep all breaches and non-reporting reasons in the log.</w:t>
      </w:r>
    </w:p>
    <w:p>
      <w:r>
        <w:t>After containment, investigate cause and impact, agree corrective actions and owners, check completion and recovery, and share appropriate anonymised learning through staff briefings and GMCA where relevant. Directors review trends and effectiveness at least quarterly.</w:t>
      </w:r>
    </w:p>
    <w:p>
      <w:pPr>
        <w:pStyle w:val="Heading1"/>
      </w:pPr>
      <w:r>
        <w:t>11 Implementation and review</w:t>
      </w:r>
    </w:p>
    <w:p>
      <w:r>
        <w:t>Director approval of this policy and the linked External Privacy Notice v1.1 was confirmed by the applicant on 12 October 2026. Claire must retain that approval record, record and review the CIC’s claimed ICO fee exemption against the proposed processing, review the actual Google account/contract and transfer arrangements, and verify access controls and operational registers. Review at least annually and after changes, complaints or incidents. A written policy is evidence of required procedures; it is not a substitute for the records demonstrating that they are used.</w:t>
      </w:r>
    </w:p>
    <w:p>
      <w:r>
        <w:t>Reference sources: ICO guidance on transparency and individual rights, international transfers, data protection complaints and personal data breaches; Google privacy/transfer documentation and, where applicable, Google Workspace Cloud Data Processing Addendum. Use current guidance and applicable law, and seek specialist advice where a processing basis or transfer safeguard cannot be established.</w:t>
      </w:r>
    </w:p>
    <w:sectPr w:rsidR="00FC693F" w:rsidRPr="0006063C" w:rsidSect="00034616">
      <w:footerReference w:type="default" r:id="rId9"/>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Trafford Veterans CIC | v1.1 | 12 October 2026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64" w:lineRule="auto" w:after="100"/>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40"/>
      <w:outlineLvl w:val="0"/>
    </w:pPr>
    <w:rPr>
      <w:rFonts w:asciiTheme="majorHAnsi" w:eastAsiaTheme="majorEastAsia" w:hAnsiTheme="majorHAnsi" w:cstheme="majorBidi" w:ascii="Arial" w:hAnsi="Arial"/>
      <w:b/>
      <w:bCs/>
      <w:color w:val="24364B"/>
      <w:sz w:val="28"/>
      <w:szCs w:val="28"/>
    </w:rPr>
  </w:style>
  <w:style w:type="paragraph" w:styleId="Heading2">
    <w:name w:val="heading 2"/>
    <w:basedOn w:val="Normal"/>
    <w:next w:val="Normal"/>
    <w:link w:val="Heading2Char"/>
    <w:uiPriority w:val="9"/>
    <w:unhideWhenUsed/>
    <w:qFormat/>
    <w:rsid w:val="00FC693F"/>
    <w:pPr>
      <w:keepNext/>
      <w:keepLines/>
      <w:spacing w:before="200" w:after="140"/>
      <w:outlineLvl w:val="1"/>
    </w:pPr>
    <w:rPr>
      <w:rFonts w:asciiTheme="majorHAnsi" w:eastAsiaTheme="majorEastAsia" w:hAnsiTheme="majorHAnsi" w:cstheme="majorBidi" w:ascii="Arial" w:hAnsi="Arial"/>
      <w:b/>
      <w:bCs/>
      <w:color w:val="24364B"/>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before="200"/>
      <w:contextualSpacing/>
    </w:pPr>
    <w:rPr>
      <w:rFonts w:asciiTheme="majorHAnsi" w:eastAsiaTheme="majorEastAsia" w:hAnsiTheme="majorHAnsi" w:cstheme="majorBidi" w:ascii="Arial" w:hAnsi="Arial"/>
      <w:color w:val="24364B"/>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data protection policy</dc:title>
  <dc:subject/>
  <dc:creator>Trafford Veterans CIC</dc:creator>
  <cp:keywords/>
  <dc:description>generated by python-docx</dc:description>
  <cp:lastModifiedBy/>
  <cp:revision>1</cp:revision>
  <dcterms:created xsi:type="dcterms:W3CDTF">2013-12-23T23:15:00Z</dcterms:created>
  <dcterms:modified xsi:type="dcterms:W3CDTF">2013-12-23T23:15:00Z</dcterms:modified>
  <cp:category/>
</cp:coreProperties>
</file>